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b w:val="1"/>
          <w:bCs w:val="1"/>
        </w:rPr>
      </w:pPr>
      <w:r>
        <w:rPr>
          <w:rFonts w:ascii="Times New Roman" w:cs="Arial Unicode MS" w:hAnsi="Arial Unicode MS" w:eastAsia="Arial Unicode MS"/>
          <w:b w:val="1"/>
          <w:bCs w:val="1"/>
          <w:sz w:val="24"/>
          <w:szCs w:val="24"/>
          <w:rtl w:val="0"/>
        </w:rPr>
        <w:t>ABSTRACT:</w:t>
      </w:r>
    </w:p>
    <w:p>
      <w:pPr>
        <w:pStyle w:val="Body A"/>
        <w:rPr>
          <w:sz w:val="24"/>
          <w:szCs w:val="24"/>
          <w:rtl w:val="0"/>
        </w:rPr>
      </w:pPr>
      <w:r>
        <w:rPr>
          <w:rFonts w:ascii="Times New Roman" w:cs="Arial Unicode MS" w:hAnsi="Arial Unicode MS" w:eastAsia="Arial Unicode MS"/>
          <w:b w:val="1"/>
          <w:bCs w:val="1"/>
          <w:sz w:val="24"/>
          <w:szCs w:val="24"/>
          <w:rtl w:val="0"/>
        </w:rPr>
        <w:t>Problem:</w:t>
      </w:r>
      <w:r>
        <w:rPr>
          <w:rFonts w:ascii="Times New Roman" w:cs="Arial Unicode MS" w:hAnsi="Arial Unicode MS" w:eastAsia="Arial Unicode MS"/>
          <w:sz w:val="24"/>
          <w:szCs w:val="24"/>
          <w:rtl w:val="0"/>
          <w:lang w:val="en-US"/>
        </w:rPr>
        <w:t xml:space="preserve"> Illness is one of the main causes of absenteeism among school-aged children. While handwashing is the single most important method of prevention, school-age children lack education about hand hygiene and proper handwashing techniques. </w:t>
      </w:r>
      <w:r>
        <w:rPr>
          <w:rFonts w:ascii="Times New Roman" w:cs="Arial Unicode MS" w:hAnsi="Arial Unicode MS" w:eastAsia="Arial Unicode MS"/>
          <w:b w:val="1"/>
          <w:bCs w:val="1"/>
          <w:sz w:val="24"/>
          <w:szCs w:val="24"/>
          <w:rtl w:val="0"/>
        </w:rPr>
        <w:t>Purpose:</w:t>
      </w:r>
      <w:r>
        <w:rPr>
          <w:rFonts w:ascii="Times New Roman" w:cs="Arial Unicode MS" w:hAnsi="Arial Unicode MS" w:eastAsia="Arial Unicode MS"/>
          <w:sz w:val="24"/>
          <w:szCs w:val="24"/>
          <w:rtl w:val="0"/>
          <w:lang w:val="en-US"/>
        </w:rPr>
        <w:t xml:space="preserve"> The purpose of this evidence-based project is to increase the knowledge and awareness of hand hygiene in school-aged children. </w:t>
      </w:r>
      <w:r>
        <w:rPr>
          <w:rFonts w:ascii="Times New Roman" w:cs="Arial Unicode MS" w:hAnsi="Arial Unicode MS" w:eastAsia="Arial Unicode MS"/>
          <w:b w:val="1"/>
          <w:bCs w:val="1"/>
          <w:sz w:val="24"/>
          <w:szCs w:val="24"/>
          <w:rtl w:val="0"/>
          <w:lang w:val="en-US"/>
        </w:rPr>
        <w:t xml:space="preserve">Intervention: </w:t>
      </w:r>
      <w:r>
        <w:rPr>
          <w:rFonts w:ascii="Times New Roman" w:cs="Arial Unicode MS" w:hAnsi="Arial Unicode MS" w:eastAsia="Arial Unicode MS"/>
          <w:sz w:val="24"/>
          <w:szCs w:val="24"/>
          <w:rtl w:val="0"/>
          <w:lang w:val="en-US"/>
        </w:rPr>
        <w:t>Nurses went to a second-grade classroom, consisting of about 21 students, to teach students about hand hygiene.  Education was provided using a beach ball in which student took turns asking questions and reading facts that were written on the ball. A hands-on approach was also provided in which glow-powder was applied to students</w:t>
      </w:r>
      <w:r>
        <w:rPr>
          <w:rFonts w:ascii="Arial Unicode MS" w:cs="Arial Unicode MS" w:hAnsi="Times New Roman" w:eastAsia="Arial Unicode MS" w:hint="default"/>
          <w:sz w:val="24"/>
          <w:szCs w:val="24"/>
          <w:rtl w:val="0"/>
          <w:lang w:val="fr-FR"/>
        </w:rPr>
        <w:t xml:space="preserve">’ </w:t>
      </w:r>
      <w:r>
        <w:rPr>
          <w:rFonts w:ascii="Times New Roman" w:cs="Arial Unicode MS" w:hAnsi="Arial Unicode MS" w:eastAsia="Arial Unicode MS"/>
          <w:sz w:val="24"/>
          <w:szCs w:val="24"/>
          <w:rtl w:val="0"/>
          <w:lang w:val="en-US"/>
        </w:rPr>
        <w:t xml:space="preserve">hands. The students were then instructed to wash their hands. Afterwards, a LED light was used to determine if any of the powder remained on their hands, allowing students to see if they washed their hands properly. </w:t>
      </w:r>
      <w:r>
        <w:rPr>
          <w:rFonts w:ascii="Times New Roman" w:cs="Arial Unicode MS" w:hAnsi="Arial Unicode MS" w:eastAsia="Arial Unicode MS"/>
          <w:b w:val="1"/>
          <w:bCs w:val="1"/>
          <w:sz w:val="24"/>
          <w:szCs w:val="24"/>
          <w:rtl w:val="0"/>
          <w:lang w:val="pt-PT"/>
        </w:rPr>
        <w:t>Outcome:</w:t>
      </w:r>
      <w:r>
        <w:rPr>
          <w:rFonts w:ascii="Times New Roman" w:cs="Arial Unicode MS" w:hAnsi="Arial Unicode MS" w:eastAsia="Arial Unicode MS"/>
          <w:sz w:val="24"/>
          <w:szCs w:val="24"/>
          <w:rtl w:val="0"/>
          <w:lang w:val="en-US"/>
        </w:rPr>
        <w:t xml:space="preserve"> Overall there was an increase in knowledge among the students prior to education and directly after education.  The number of students who were able to correctly identify how long it takes to properly wash their hands increased by 36%.  There was an increase of 53% of student who could correctly identify what to use when washing their hands when comparing pre and post-tests. The number of students who could correctly identify the importance of handwashing increased by 42%.  53% correctly identified the reason handwashing is important.  </w:t>
      </w:r>
    </w:p>
    <w:p>
      <w:pPr>
        <w:pStyle w:val="Body A"/>
        <w:rPr>
          <w:sz w:val="24"/>
          <w:szCs w:val="24"/>
          <w:rtl w:val="0"/>
        </w:rPr>
      </w:pPr>
      <w:r>
        <w:rPr>
          <w:rFonts w:ascii="Times New Roman" w:cs="Arial Unicode MS" w:hAnsi="Arial Unicode MS" w:eastAsia="Arial Unicode MS"/>
          <w:sz w:val="24"/>
          <w:szCs w:val="24"/>
          <w:rtl w:val="0"/>
          <w:lang w:val="en-US"/>
        </w:rPr>
        <w:t xml:space="preserve">The post visit that occurred one week after implementation shows that the student retained the information provided.  The post-test results directly after education and one week after education showed little to no variation. </w:t>
      </w:r>
    </w:p>
    <w:p>
      <w:pPr>
        <w:pStyle w:val="Body A"/>
        <w:rPr>
          <w:sz w:val="24"/>
          <w:szCs w:val="24"/>
          <w:rtl w:val="0"/>
        </w:rPr>
      </w:pPr>
      <w:r>
        <w:rPr>
          <w:rFonts w:ascii="Times New Roman" w:cs="Arial Unicode MS" w:hAnsi="Arial Unicode MS" w:eastAsia="Arial Unicode MS"/>
          <w:sz w:val="24"/>
          <w:szCs w:val="24"/>
          <w:rtl w:val="0"/>
          <w:lang w:val="en-US"/>
        </w:rPr>
        <w:t xml:space="preserve">The nurses also tested student on their handwashing behaviors. When asked how often students wash their hands after using the bathroom there was an increase of 29% in students responding </w:t>
      </w:r>
      <w:r>
        <w:rPr>
          <w:rFonts w:ascii="Arial Unicode MS" w:cs="Arial Unicode MS" w:hAnsi="Times New Roman" w:eastAsia="Arial Unicode MS" w:hint="default"/>
          <w:sz w:val="24"/>
          <w:szCs w:val="24"/>
          <w:rtl w:val="0"/>
        </w:rPr>
        <w:t>“</w:t>
      </w:r>
      <w:r>
        <w:rPr>
          <w:rFonts w:ascii="Times New Roman" w:cs="Arial Unicode MS" w:hAnsi="Arial Unicode MS" w:eastAsia="Arial Unicode MS"/>
          <w:sz w:val="24"/>
          <w:szCs w:val="24"/>
          <w:rtl w:val="0"/>
          <w:lang w:val="en-US"/>
        </w:rPr>
        <w:t>always</w:t>
      </w:r>
      <w:r>
        <w:rPr>
          <w:rFonts w:ascii="Arial Unicode MS" w:cs="Arial Unicode MS" w:hAnsi="Times New Roman" w:eastAsia="Arial Unicode MS" w:hint="default"/>
          <w:sz w:val="24"/>
          <w:szCs w:val="24"/>
          <w:rtl w:val="0"/>
        </w:rPr>
        <w:t>”</w:t>
      </w:r>
      <w:r>
        <w:rPr>
          <w:rFonts w:ascii="Times New Roman" w:cs="Arial Unicode MS" w:hAnsi="Arial Unicode MS" w:eastAsia="Arial Unicode MS"/>
          <w:sz w:val="24"/>
          <w:szCs w:val="24"/>
          <w:rtl w:val="0"/>
          <w:lang w:val="en-US"/>
        </w:rPr>
        <w:t xml:space="preserve">. There was a 27% increase in students answering </w:t>
      </w:r>
      <w:r>
        <w:rPr>
          <w:rFonts w:ascii="Arial Unicode MS" w:cs="Arial Unicode MS" w:hAnsi="Times New Roman" w:eastAsia="Arial Unicode MS" w:hint="default"/>
          <w:sz w:val="24"/>
          <w:szCs w:val="24"/>
          <w:rtl w:val="0"/>
        </w:rPr>
        <w:t>“</w:t>
      </w:r>
      <w:r>
        <w:rPr>
          <w:rFonts w:ascii="Times New Roman" w:cs="Arial Unicode MS" w:hAnsi="Arial Unicode MS" w:eastAsia="Arial Unicode MS"/>
          <w:sz w:val="24"/>
          <w:szCs w:val="24"/>
          <w:rtl w:val="0"/>
          <w:lang w:val="en-US"/>
        </w:rPr>
        <w:t>always</w:t>
      </w:r>
      <w:r>
        <w:rPr>
          <w:rFonts w:ascii="Arial Unicode MS" w:cs="Arial Unicode MS" w:hAnsi="Times New Roman" w:eastAsia="Arial Unicode MS" w:hint="default"/>
          <w:sz w:val="24"/>
          <w:szCs w:val="24"/>
          <w:rtl w:val="0"/>
        </w:rPr>
        <w:t xml:space="preserve">” </w:t>
      </w:r>
      <w:r>
        <w:rPr>
          <w:rFonts w:ascii="Times New Roman" w:cs="Arial Unicode MS" w:hAnsi="Arial Unicode MS" w:eastAsia="Arial Unicode MS"/>
          <w:sz w:val="24"/>
          <w:szCs w:val="24"/>
          <w:rtl w:val="0"/>
          <w:lang w:val="en-US"/>
        </w:rPr>
        <w:t xml:space="preserve">when asked how often they wash their hands before eating.  </w:t>
      </w:r>
    </w:p>
    <w:p>
      <w:pPr>
        <w:pStyle w:val="Body A A"/>
        <w:ind w:right="144"/>
        <w:jc w:val="both"/>
        <w:rPr>
          <w:rFonts w:ascii="Times New Roman" w:cs="Times New Roman" w:hAnsi="Times New Roman" w:eastAsia="Times New Roman"/>
          <w:sz w:val="24"/>
          <w:szCs w:val="24"/>
          <w:u w:color="000000"/>
        </w:rPr>
      </w:pPr>
    </w:p>
    <w:p>
      <w:pPr>
        <w:pStyle w:val="Body A A"/>
        <w:ind w:right="144"/>
        <w:jc w:val="both"/>
        <w:rPr>
          <w:rFonts w:ascii="Times New Roman" w:cs="Times New Roman" w:hAnsi="Times New Roman" w:eastAsia="Times New Roman"/>
          <w:b w:val="1"/>
          <w:bCs w:val="1"/>
          <w:sz w:val="24"/>
          <w:szCs w:val="24"/>
          <w:u w:color="000000"/>
        </w:rPr>
      </w:pPr>
      <w:r>
        <w:rPr>
          <w:rFonts w:ascii="Times New Roman"/>
          <w:b w:val="1"/>
          <w:bCs w:val="1"/>
          <w:sz w:val="24"/>
          <w:szCs w:val="24"/>
          <w:u w:color="000000"/>
          <w:rtl w:val="0"/>
          <w:lang w:val="en-US"/>
        </w:rPr>
        <w:t>BACKGROUND AND PURPOSE:</w:t>
      </w:r>
    </w:p>
    <w:p>
      <w:pPr>
        <w:pStyle w:val="List Paragraph"/>
        <w:ind w:left="0" w:right="144" w:firstLine="576"/>
        <w:jc w:val="both"/>
        <w:rPr>
          <w:rFonts w:ascii="Times New Roman" w:cs="Times New Roman" w:hAnsi="Times New Roman" w:eastAsia="Times New Roman"/>
          <w:color w:val="000000"/>
          <w:u w:color="000000"/>
        </w:rPr>
      </w:pPr>
      <w:r>
        <w:rPr>
          <w:rFonts w:ascii="Times New Roman"/>
          <w:color w:val="000000"/>
          <w:sz w:val="24"/>
          <w:szCs w:val="24"/>
          <w:u w:color="000000"/>
          <w:rtl w:val="0"/>
          <w:lang w:val="en-US"/>
        </w:rPr>
        <w:t xml:space="preserve">Absenteeism related to infectious diseases is a problem in primary schools (Ramos, Blea, Trujillo, &amp; Greenberg, 2010). </w:t>
      </w:r>
      <w:r>
        <w:rPr>
          <w:rFonts w:hAnsi="Times New Roman" w:hint="default"/>
          <w:sz w:val="24"/>
          <w:szCs w:val="24"/>
          <w:rtl w:val="0"/>
          <w:lang w:val="en-US"/>
        </w:rPr>
        <w:t>“</w:t>
      </w:r>
      <w:r>
        <w:rPr>
          <w:rFonts w:ascii="Times New Roman"/>
          <w:sz w:val="24"/>
          <w:szCs w:val="24"/>
          <w:rtl w:val="0"/>
          <w:lang w:val="en-US"/>
        </w:rPr>
        <w:t>Nearly 22 million school days are lost annually due to the common cold alone</w:t>
      </w:r>
      <w:r>
        <w:rPr>
          <w:rFonts w:hAnsi="Times New Roman" w:hint="default"/>
          <w:sz w:val="24"/>
          <w:szCs w:val="24"/>
          <w:rtl w:val="0"/>
          <w:lang w:val="en-US"/>
        </w:rPr>
        <w:t xml:space="preserve">” </w:t>
      </w:r>
      <w:r>
        <w:rPr>
          <w:rFonts w:ascii="Times New Roman"/>
          <w:sz w:val="24"/>
          <w:szCs w:val="24"/>
          <w:rtl w:val="0"/>
          <w:lang w:val="en-US"/>
        </w:rPr>
        <w:t xml:space="preserve">(Tousman, S. et al., 2007).  </w:t>
      </w:r>
      <w:r>
        <w:rPr>
          <w:rFonts w:ascii="Times New Roman"/>
          <w:color w:val="000000"/>
          <w:sz w:val="24"/>
          <w:szCs w:val="24"/>
          <w:u w:color="000000"/>
          <w:rtl w:val="0"/>
          <w:lang w:val="en-US"/>
        </w:rPr>
        <w:t xml:space="preserve">In school-aged children, hands are the primary mode of transmission of many infectious diseases (Ramos, Blea, Trujillo, &amp; Greenberg, 2010).  From shared toys to school supplies to even doorknobs, school-aged children are continuously touching objects that contain germs.  </w:t>
      </w:r>
      <w:r>
        <w:rPr>
          <w:rFonts w:ascii="Times New Roman"/>
          <w:sz w:val="24"/>
          <w:szCs w:val="24"/>
          <w:rtl w:val="0"/>
          <w:lang w:val="en-US"/>
        </w:rPr>
        <w:t>To help decrease the spreading of germs and ultimately reduce the spread of communicable illnesses, proper hand washing is essential.</w:t>
      </w:r>
    </w:p>
    <w:p>
      <w:pPr>
        <w:pStyle w:val="List Paragraph"/>
        <w:ind w:left="0" w:right="144" w:firstLine="576"/>
        <w:jc w:val="both"/>
        <w:rPr>
          <w:rFonts w:ascii="Times New Roman" w:cs="Times New Roman" w:hAnsi="Times New Roman" w:eastAsia="Times New Roman"/>
        </w:rPr>
      </w:pPr>
      <w:r>
        <w:rPr>
          <w:rFonts w:ascii="Times New Roman"/>
          <w:sz w:val="24"/>
          <w:szCs w:val="24"/>
          <w:rtl w:val="0"/>
          <w:lang w:val="en-US"/>
        </w:rPr>
        <w:t xml:space="preserve">Illness is one of the main causes of absenteeism among school-aged children. While handwashing is the single most important method of prevention, school-age children lack education about hand hygiene and proper handwashing techniques.  The purpose of this evidence-based project was to increase the knowledge and awareness of hand hygiene in school-aged children. </w:t>
      </w:r>
      <w:r>
        <w:rPr>
          <w:rFonts w:ascii="Times New Roman"/>
          <w:color w:val="000000"/>
          <w:sz w:val="24"/>
          <w:szCs w:val="24"/>
          <w:u w:color="000000"/>
          <w:rtl w:val="0"/>
          <w:lang w:val="en-US"/>
        </w:rPr>
        <w:t xml:space="preserve">Nurses play a significant role in the prevention of communicable illnesses in communities; this prevention can provide by providing education to the public, such as school-aged students.  </w:t>
      </w:r>
      <w:r>
        <w:rPr>
          <w:rFonts w:ascii="Times New Roman"/>
          <w:sz w:val="24"/>
          <w:szCs w:val="24"/>
          <w:rtl w:val="0"/>
          <w:lang w:val="en-US"/>
        </w:rPr>
        <w:t>Through collaboration with school teachers, nurses have to opportunity to go into the classroom setting and increase the knowledge and awareness of hand hygiene in school-aged children.</w:t>
      </w:r>
    </w:p>
    <w:p>
      <w:pPr>
        <w:pStyle w:val="Body A"/>
        <w:ind w:right="144"/>
        <w:jc w:val="both"/>
        <w:rPr>
          <w:b w:val="1"/>
          <w:bCs w:val="1"/>
        </w:rPr>
      </w:pPr>
      <w:r>
        <w:rPr>
          <w:b w:val="1"/>
          <w:bCs w:val="1"/>
          <w:sz w:val="24"/>
          <w:szCs w:val="24"/>
          <w:rtl w:val="0"/>
        </w:rPr>
        <w:t>APPROACH:</w:t>
      </w:r>
    </w:p>
    <w:p>
      <w:pPr>
        <w:pStyle w:val="List Paragraph"/>
        <w:ind w:left="0" w:right="144" w:firstLine="576"/>
        <w:jc w:val="both"/>
        <w:rPr>
          <w:rFonts w:ascii="Times New Roman" w:cs="Times New Roman" w:hAnsi="Times New Roman" w:eastAsia="Times New Roman"/>
        </w:rPr>
      </w:pPr>
      <w:r>
        <w:rPr>
          <w:rFonts w:ascii="Times New Roman"/>
          <w:sz w:val="24"/>
          <w:szCs w:val="24"/>
          <w:rtl w:val="0"/>
          <w:lang w:val="en-US"/>
        </w:rPr>
        <w:t xml:space="preserve">For this evidence-based project, nurses contacted local teachers and educators via telephone, email, and in person.  The nurses proposed going into classrooms during school hours and teaching the students about hand hygiene and proper handwashing techniques.  Upon approval, the nurses coordinated with teachers and arranged to provide an education session to students.  In total, 22 school-aged students, between the age of seven to nine, from a urban community in Connecticut participated in the education session provided.  </w:t>
      </w:r>
    </w:p>
    <w:p>
      <w:pPr>
        <w:pStyle w:val="Body A"/>
        <w:ind w:firstLine="720"/>
        <w:rPr>
          <w:sz w:val="24"/>
          <w:szCs w:val="24"/>
          <w:rtl w:val="0"/>
          <w:lang w:val="en-US"/>
        </w:rPr>
      </w:pPr>
      <w:r>
        <w:rPr>
          <w:sz w:val="24"/>
          <w:szCs w:val="24"/>
          <w:rtl w:val="0"/>
          <w:lang w:val="en-US"/>
        </w:rPr>
        <w:t xml:space="preserve">Because the students were young children, the education provided was hands-on and engaging. Before the education session, nurses wrote facts and questions related to handwashing and appropriate hand hygiene on a large beach ball. This ball was used to play a game and allow active participation from the students.  Throughout the game, the nurses reinforced facts that were read about handwashing. After the education portion, students participated in a hands-on activity.  A powder substance powder that lights up under LED lights was applied to the students hands prior to handwashing.  After a demonstration on proper handwashing techniques, students well given the opportunity to practice washing their hands and allowed to inspect their hands for the powder residue under LED lighting. This activity allowed students to visualize how well they washed the surface of their hands.  To capture the attention of the students and encourage participation, nurses provided students with stickers, pencils, and small prizes. </w:t>
      </w:r>
    </w:p>
    <w:p>
      <w:pPr>
        <w:pStyle w:val="Body A"/>
        <w:ind w:right="144" w:firstLine="720"/>
        <w:rPr>
          <w:color w:val="ff2d21"/>
          <w:u w:color="ff2d21"/>
        </w:rPr>
      </w:pPr>
      <w:r>
        <w:rPr>
          <w:sz w:val="24"/>
          <w:szCs w:val="24"/>
          <w:shd w:val="clear" w:color="auto" w:fill="00ff00"/>
          <w:rtl w:val="0"/>
          <w:lang w:val="en-US"/>
        </w:rPr>
        <w:t>The teaching method selected for this project was The Star Model of Knowledge Transformation, also known simply as The Star Model.   According to this model, knowledge transform during various stages.  For this model, old and new information and concepts organized to create EBP approaches that improve care.  The model illustrates five major stages of knowledges, which are discovery research, evidence summary, and translation to guidelines, practice integration, and process, outcome evaluation.  (Schaffer M., Sandau K., &amp; Diedrick L. ,2013)  this mode of teaching has been proven success.</w:t>
      </w:r>
      <w:r>
        <w:rPr>
          <w:sz w:val="24"/>
          <w:szCs w:val="24"/>
          <w:rtl w:val="0"/>
        </w:rPr>
        <w:t>-</w:t>
      </w:r>
      <w:r>
        <w:rPr>
          <w:color w:val="ff2d21"/>
          <w:sz w:val="24"/>
          <w:szCs w:val="24"/>
          <w:u w:color="ff2d21"/>
          <w:rtl w:val="0"/>
          <w:lang w:val="en-US"/>
        </w:rPr>
        <w:t>Not sure if we need to include this section or not.</w:t>
      </w:r>
    </w:p>
    <w:p>
      <w:pPr>
        <w:pStyle w:val="Body A"/>
        <w:ind w:right="144"/>
        <w:rPr>
          <w:b w:val="1"/>
          <w:bCs w:val="1"/>
          <w:u w:color="000000"/>
        </w:rPr>
      </w:pPr>
      <w:r>
        <w:rPr>
          <w:b w:val="1"/>
          <w:bCs w:val="1"/>
          <w:sz w:val="24"/>
          <w:szCs w:val="24"/>
          <w:u w:color="000000"/>
          <w:rtl w:val="0"/>
        </w:rPr>
        <w:t xml:space="preserve">OUTCOME:  </w:t>
      </w:r>
    </w:p>
    <w:p>
      <w:pPr>
        <w:pStyle w:val="Body A"/>
        <w:rPr>
          <w:sz w:val="24"/>
          <w:szCs w:val="24"/>
          <w:rtl w:val="0"/>
        </w:rPr>
      </w:pPr>
      <w:r>
        <w:rPr>
          <w:rFonts w:ascii="Times New Roman" w:cs="Arial Unicode MS" w:hAnsi="Arial Unicode MS" w:eastAsia="Arial Unicode MS"/>
          <w:sz w:val="24"/>
          <w:szCs w:val="24"/>
          <w:rtl w:val="0"/>
          <w:lang w:val="en-US"/>
        </w:rPr>
        <w:t xml:space="preserve">Before providing education, the children were asked to answer set of questions regarding their knowledge and behaviors towards hand washing. Knowledge questions were multiple choice questions that test what students knew about when they should wash their hands, what is needed to wash their hands and how long to wash their hands. These questions asked before education provided, directly after the education session, and a week later. The behavior questions asked how often they washed their hands before or after activities such as eating and using the restroom. These questions were asked before education was provided and then followed-up one week after.  Addition questions asked directly after education; and, students asked to report how they changed their hand washing activity/frequency after receiving knowledge. </w:t>
      </w:r>
    </w:p>
    <w:p>
      <w:pPr>
        <w:pStyle w:val="Body A"/>
        <w:ind w:right="144"/>
        <w:rPr>
          <w:shd w:val="clear" w:color="auto" w:fill="0000ff"/>
        </w:rPr>
      </w:pPr>
      <w:r>
        <w:rPr/>
        <w:fldChar w:fldCharType="begin" w:fldLock="0"/>
      </w:r>
      <w:r>
        <w:rPr>
          <w:rtl w:val="0"/>
        </w:rPr>
        <w:t xml:space="preserve"> EMBED MSGraph.Chart.8 \s </w:t>
      </w:r>
      <w:r>
        <w:rPr>
          <w:sz w:val="20"/>
          <w:szCs w:val="20"/>
        </w:rPr>
        <w:fldChar w:fldCharType="separate" w:fldLock="0"/>
      </w:r>
      <w:r>
        <w:drawing>
          <wp:inline distT="0" distB="0" distL="0" distR="0">
            <wp:extent cx="5182239" cy="3003324"/>
            <wp:effectExtent l="0" t="0" r="0" b="0"/>
            <wp:docPr id="1073741825" name="officeArt object"/>
            <wp:cNvGraphicFramePr/>
            <a:graphic xmlns:a="http://schemas.openxmlformats.org/drawingml/2006/main">
              <a:graphicData uri="http://schemas.openxmlformats.org/drawingml/2006/chart">
                <c:chart xmlns:c="http://schemas.openxmlformats.org/drawingml/2006/chart" r:id="rId4"/>
              </a:graphicData>
            </a:graphic>
          </wp:inline>
        </w:drawing>
      </w:r>
      <w:r>
        <w:rPr/>
        <w:fldChar w:fldCharType="end" w:fldLock="0"/>
      </w:r>
    </w:p>
    <w:p>
      <w:pPr>
        <w:pStyle w:val="Body A"/>
        <w:ind w:right="144"/>
        <w:rPr>
          <w:shd w:val="clear" w:color="auto" w:fill="0000ff"/>
        </w:rPr>
      </w:pPr>
    </w:p>
    <w:p>
      <w:pPr>
        <w:pStyle w:val="Body A"/>
        <w:ind w:right="144"/>
        <w:rPr>
          <w:rtl w:val="0"/>
        </w:rPr>
      </w:pPr>
      <w:r>
        <w:rPr/>
        <w:fldChar w:fldCharType="begin" w:fldLock="0"/>
      </w:r>
      <w:r>
        <w:rPr>
          <w:rtl w:val="0"/>
        </w:rPr>
        <w:t xml:space="preserve"> EMBED MSGraph.Chart.8 \s </w:t>
      </w:r>
      <w:r>
        <w:rPr>
          <w:sz w:val="20"/>
          <w:szCs w:val="20"/>
        </w:rPr>
        <w:fldChar w:fldCharType="separate" w:fldLock="0"/>
      </w:r>
      <w:r>
        <w:drawing>
          <wp:inline distT="0" distB="0" distL="0" distR="0">
            <wp:extent cx="5229263" cy="3236363"/>
            <wp:effectExtent l="0" t="0" r="0" b="0"/>
            <wp:docPr id="1073741826" name="officeArt object"/>
            <wp:cNvGraphicFramePr/>
            <a:graphic xmlns:a="http://schemas.openxmlformats.org/drawingml/2006/main">
              <a:graphicData uri="http://schemas.openxmlformats.org/drawingml/2006/chart">
                <c:chart xmlns:c="http://schemas.openxmlformats.org/drawingml/2006/chart" r:id="rId5"/>
              </a:graphicData>
            </a:graphic>
          </wp:inline>
        </w:drawing>
      </w:r>
      <w:r>
        <w:rPr/>
        <w:fldChar w:fldCharType="end" w:fldLock="0"/>
      </w:r>
    </w:p>
    <w:p>
      <w:pPr>
        <w:pStyle w:val="Body A"/>
        <w:ind w:right="144"/>
        <w:rPr>
          <w:shd w:val="clear" w:color="auto" w:fill="0000ff"/>
        </w:rPr>
      </w:pPr>
      <w:r>
        <w:rPr>
          <w:b w:val="1"/>
          <w:bCs w:val="1"/>
          <w:sz w:val="24"/>
          <w:szCs w:val="24"/>
          <w:u w:color="000000"/>
          <w:rtl w:val="0"/>
        </w:rPr>
        <w:t>DISCUSSION:</w:t>
      </w:r>
      <w:r>
        <w:rPr>
          <w:sz w:val="24"/>
          <w:szCs w:val="24"/>
          <w:rtl w:val="0"/>
        </w:rPr>
        <w:t xml:space="preserve"> </w:t>
      </w:r>
    </w:p>
    <w:p>
      <w:pPr>
        <w:pStyle w:val="Body A A"/>
        <w:ind w:right="144" w:firstLine="720"/>
        <w:rPr>
          <w:rFonts w:ascii="Times New Roman" w:cs="Times New Roman" w:hAnsi="Times New Roman" w:eastAsia="Times New Roman"/>
          <w:color w:val="000000"/>
          <w:sz w:val="24"/>
          <w:szCs w:val="24"/>
          <w:u w:color="000000"/>
        </w:rPr>
      </w:pPr>
      <w:r>
        <w:rPr>
          <w:rFonts w:ascii="Times New Roman"/>
          <w:color w:val="000000"/>
          <w:sz w:val="24"/>
          <w:szCs w:val="24"/>
          <w:u w:color="000000"/>
          <w:rtl w:val="0"/>
          <w:lang w:val="en-US"/>
        </w:rPr>
        <w:t>Based on the literature review, there appears to be a gap in knowledge in the school-aged children</w:t>
      </w:r>
      <w:r>
        <w:rPr>
          <w:rFonts w:hAnsi="Times New Roman" w:hint="default"/>
          <w:color w:val="000000"/>
          <w:sz w:val="24"/>
          <w:szCs w:val="24"/>
          <w:u w:color="000000"/>
          <w:rtl w:val="0"/>
          <w:lang w:val="en-US"/>
        </w:rPr>
        <w:t>’</w:t>
      </w:r>
      <w:r>
        <w:rPr>
          <w:rFonts w:ascii="Times New Roman"/>
          <w:color w:val="000000"/>
          <w:sz w:val="24"/>
          <w:szCs w:val="24"/>
          <w:u w:color="000000"/>
          <w:rtl w:val="0"/>
          <w:lang w:val="en-US"/>
        </w:rPr>
        <w:t xml:space="preserve">s awareness of hand hygiene as well as a lack in the literature on hand hygiene education for school-aged children.  </w:t>
      </w:r>
      <w:r>
        <w:rPr>
          <w:rFonts w:ascii="Times New Roman"/>
          <w:sz w:val="24"/>
          <w:szCs w:val="24"/>
          <w:u w:color="000000"/>
          <w:rtl w:val="0"/>
          <w:lang w:val="en-US"/>
        </w:rPr>
        <w:t xml:space="preserve">The purpose of this evidence-based project was to increase the knowledge and awareness of hand hygiene in school-aged children. </w:t>
      </w:r>
    </w:p>
    <w:p>
      <w:pPr>
        <w:pStyle w:val="Body A"/>
        <w:ind w:firstLine="720"/>
        <w:rPr>
          <w:sz w:val="24"/>
          <w:szCs w:val="24"/>
          <w:rtl w:val="0"/>
        </w:rPr>
      </w:pPr>
      <w:r>
        <w:rPr>
          <w:sz w:val="24"/>
          <w:szCs w:val="24"/>
          <w:rtl w:val="0"/>
          <w:lang w:val="en-US"/>
        </w:rPr>
        <w:t xml:space="preserve">The outcomes of this evidence-based intervention showed the impact education has on increasing handwashing awareness and compliance.  Overall there was an increase in knowledge among the students prior to education and directly after education, as seen in Figure 1.  The number of students who were able to correctly identify how long it takes to properly wash their hands increased from 53% to 89%, a 36% increase.  There was an increase of 53% of student who could correctly identify what to use when washing their hands. The number of students who could correctly identify the importance of handwashing increased by 42%. The post visit that occurred one week after implementation shows that the student retained the information provided. </w:t>
      </w:r>
    </w:p>
    <w:p>
      <w:pPr>
        <w:pStyle w:val="Body A"/>
        <w:ind w:firstLine="720"/>
        <w:rPr>
          <w:sz w:val="24"/>
          <w:szCs w:val="24"/>
          <w:rtl w:val="0"/>
          <w:lang w:val="en-US"/>
        </w:rPr>
      </w:pPr>
      <w:r>
        <w:rPr>
          <w:sz w:val="24"/>
          <w:szCs w:val="24"/>
          <w:rtl w:val="0"/>
          <w:lang w:val="en-US"/>
        </w:rPr>
        <w:t xml:space="preserve">Figure 2 displays the self-reported results from students on their handwashing behaviors. When asked how often students wash their hands after using the bathroom there was an increase of 29% in students responding </w:t>
      </w:r>
      <w:r>
        <w:rPr>
          <w:rFonts w:hAnsi="Times New Roman" w:hint="default"/>
          <w:sz w:val="24"/>
          <w:szCs w:val="24"/>
          <w:rtl w:val="0"/>
        </w:rPr>
        <w:t>“</w:t>
      </w:r>
      <w:r>
        <w:rPr>
          <w:sz w:val="24"/>
          <w:szCs w:val="24"/>
          <w:rtl w:val="0"/>
          <w:lang w:val="en-US"/>
        </w:rPr>
        <w:t>always</w:t>
      </w:r>
      <w:r>
        <w:rPr>
          <w:rFonts w:hAnsi="Times New Roman" w:hint="default"/>
          <w:sz w:val="24"/>
          <w:szCs w:val="24"/>
          <w:rtl w:val="0"/>
        </w:rPr>
        <w:t>”</w:t>
      </w:r>
      <w:r>
        <w:rPr>
          <w:sz w:val="24"/>
          <w:szCs w:val="24"/>
          <w:rtl w:val="0"/>
          <w:lang w:val="en-US"/>
        </w:rPr>
        <w:t xml:space="preserve">. There was a 27% increase in students answering </w:t>
      </w:r>
      <w:r>
        <w:rPr>
          <w:rFonts w:hAnsi="Times New Roman" w:hint="default"/>
          <w:sz w:val="24"/>
          <w:szCs w:val="24"/>
          <w:rtl w:val="0"/>
        </w:rPr>
        <w:t>“</w:t>
      </w:r>
      <w:r>
        <w:rPr>
          <w:sz w:val="24"/>
          <w:szCs w:val="24"/>
          <w:rtl w:val="0"/>
          <w:lang w:val="en-US"/>
        </w:rPr>
        <w:t>always</w:t>
      </w:r>
      <w:r>
        <w:rPr>
          <w:rFonts w:hAnsi="Times New Roman" w:hint="default"/>
          <w:sz w:val="24"/>
          <w:szCs w:val="24"/>
          <w:rtl w:val="0"/>
        </w:rPr>
        <w:t xml:space="preserve">” </w:t>
      </w:r>
      <w:r>
        <w:rPr>
          <w:sz w:val="24"/>
          <w:szCs w:val="24"/>
          <w:rtl w:val="0"/>
          <w:lang w:val="en-US"/>
        </w:rPr>
        <w:t xml:space="preserve">when asked how often they wash their hands before eating.  These results show that the students not only retained the information provided, but they also changed their behaviors based on the knowledge they received. </w:t>
      </w:r>
    </w:p>
    <w:p>
      <w:pPr>
        <w:pStyle w:val="Body A A"/>
        <w:ind w:right="144"/>
        <w:rPr>
          <w:rFonts w:ascii="Times New Roman" w:cs="Times New Roman" w:hAnsi="Times New Roman" w:eastAsia="Times New Roman"/>
          <w:b w:val="1"/>
          <w:bCs w:val="1"/>
          <w:sz w:val="24"/>
          <w:szCs w:val="24"/>
          <w:u w:color="000000"/>
        </w:rPr>
      </w:pPr>
      <w:r>
        <w:rPr>
          <w:rFonts w:ascii="Times New Roman"/>
          <w:b w:val="1"/>
          <w:bCs w:val="1"/>
          <w:sz w:val="24"/>
          <w:szCs w:val="24"/>
          <w:u w:color="000000"/>
          <w:rtl w:val="0"/>
          <w:lang w:val="en-US"/>
        </w:rPr>
        <w:t>IMPLICATIONS:</w:t>
      </w:r>
    </w:p>
    <w:p>
      <w:pPr>
        <w:pStyle w:val="Body A A"/>
        <w:ind w:right="144" w:firstLine="720"/>
        <w:rPr>
          <w:rFonts w:ascii="Times New Roman" w:cs="Times New Roman" w:hAnsi="Times New Roman" w:eastAsia="Times New Roman"/>
          <w:color w:val="000000"/>
          <w:sz w:val="24"/>
          <w:szCs w:val="24"/>
          <w:u w:color="000000"/>
        </w:rPr>
      </w:pPr>
      <w:r>
        <w:rPr>
          <w:rFonts w:ascii="Times New Roman"/>
          <w:color w:val="000000"/>
          <w:sz w:val="24"/>
          <w:szCs w:val="24"/>
          <w:u w:color="000000"/>
          <w:rtl w:val="0"/>
          <w:lang w:val="en-US"/>
        </w:rPr>
        <w:t>While the results showed improved awareness and behaviors related to hang hygiene, there were challenges that the nurses, teachers, and students experience.  One of the main challenges was time constraints.  The students were eager to learn and quickly wanted to make changes to their behavior.  In fact, after education, the teacher was asked by students if they could all wash their hands before lunch.  A week after the education session, the teacher expressed how excited the children continued to be about handwashing but that she felt there wasn</w:t>
      </w:r>
      <w:r>
        <w:rPr>
          <w:rFonts w:hAnsi="Times New Roman" w:hint="default"/>
          <w:color w:val="000000"/>
          <w:sz w:val="24"/>
          <w:szCs w:val="24"/>
          <w:u w:color="000000"/>
          <w:rtl w:val="0"/>
          <w:lang w:val="en-US"/>
        </w:rPr>
        <w:t>’</w:t>
      </w:r>
      <w:r>
        <w:rPr>
          <w:rFonts w:ascii="Times New Roman"/>
          <w:color w:val="000000"/>
          <w:sz w:val="24"/>
          <w:szCs w:val="24"/>
          <w:u w:color="000000"/>
          <w:rtl w:val="0"/>
          <w:lang w:val="en-US"/>
        </w:rPr>
        <w:t>t enough time for the students to wash their hands as often.  The strict schedules made it difficult to accommodate students</w:t>
      </w:r>
      <w:r>
        <w:rPr>
          <w:rFonts w:hAnsi="Times New Roman" w:hint="default"/>
          <w:color w:val="000000"/>
          <w:sz w:val="24"/>
          <w:szCs w:val="24"/>
          <w:u w:color="000000"/>
          <w:rtl w:val="0"/>
          <w:lang w:val="en-US"/>
        </w:rPr>
        <w:t xml:space="preserve">’ </w:t>
      </w:r>
      <w:r>
        <w:rPr>
          <w:rFonts w:ascii="Times New Roman"/>
          <w:color w:val="000000"/>
          <w:sz w:val="24"/>
          <w:szCs w:val="24"/>
          <w:u w:color="000000"/>
          <w:rtl w:val="0"/>
          <w:lang w:val="en-US"/>
        </w:rPr>
        <w:t xml:space="preserve">request to wash their hands in the time allotted for students to attend the lunchroom and return to the classroom in a timely manner.  </w:t>
      </w:r>
    </w:p>
    <w:p>
      <w:pPr>
        <w:pStyle w:val="Body A A"/>
        <w:ind w:right="144" w:firstLine="720"/>
        <w:rPr>
          <w:rFonts w:ascii="Times New Roman" w:cs="Times New Roman" w:hAnsi="Times New Roman" w:eastAsia="Times New Roman"/>
          <w:sz w:val="24"/>
          <w:szCs w:val="24"/>
          <w:u w:color="000000"/>
        </w:rPr>
      </w:pPr>
      <w:r>
        <w:rPr>
          <w:rFonts w:ascii="Times New Roman"/>
          <w:sz w:val="24"/>
          <w:szCs w:val="24"/>
          <w:u w:color="000000"/>
          <w:rtl w:val="0"/>
          <w:lang w:val="en-US"/>
        </w:rPr>
        <w:t xml:space="preserve">There was also a reported and observed lack of resources for students to properly wash their hands. While the classroom was equipped with a sink and running water, there were limited amounts of soap and paper towels.  While the teacher and students were interested in performing hand hygiene more frequently, the lack of materials made this difficult. </w:t>
      </w:r>
    </w:p>
    <w:p>
      <w:pPr>
        <w:pStyle w:val="Body A A"/>
        <w:ind w:right="144" w:firstLine="720"/>
        <w:rPr>
          <w:rFonts w:ascii="Times New Roman" w:cs="Times New Roman" w:hAnsi="Times New Roman" w:eastAsia="Times New Roman"/>
          <w:color w:val="000000"/>
          <w:sz w:val="24"/>
          <w:szCs w:val="24"/>
          <w:u w:color="000000"/>
        </w:rPr>
      </w:pPr>
      <w:r>
        <w:rPr>
          <w:rFonts w:ascii="Times New Roman"/>
          <w:sz w:val="24"/>
          <w:szCs w:val="24"/>
          <w:u w:color="000000"/>
          <w:rtl w:val="0"/>
          <w:lang w:val="en-US"/>
        </w:rPr>
        <w:t xml:space="preserve">Although there were obstacles during this evidence-based project, there is still a great need to educate children to decrease illnesses and ultimately absenteeism in schools. </w:t>
      </w:r>
      <w:r>
        <w:rPr>
          <w:rFonts w:ascii="Times New Roman"/>
          <w:sz w:val="24"/>
          <w:szCs w:val="24"/>
          <w:rtl w:val="0"/>
          <w:lang w:val="en-US"/>
        </w:rPr>
        <w:t xml:space="preserve">The outcomes of this project raised awareness on the benefits of hand washing education to school-aged children.  </w:t>
      </w:r>
      <w:r>
        <w:rPr>
          <w:rFonts w:ascii="Times New Roman"/>
          <w:color w:val="000000"/>
          <w:sz w:val="24"/>
          <w:szCs w:val="24"/>
          <w:u w:color="000000"/>
          <w:rtl w:val="0"/>
          <w:lang w:val="en-US"/>
        </w:rPr>
        <w:t xml:space="preserve">The literature review showed a lack of education on health topics such as hand hygiene being limited for school-aged children and unfortunately, these topics are often left out of school curriculums.  However, there is value in teachers and nurses being able to effectively collaborate and provide the needed health related education to students.  This project should be used to encourage these partnerships with nurses to continue to occur within the community.  </w:t>
      </w:r>
    </w:p>
    <w:p>
      <w:pPr>
        <w:pStyle w:val="Body A"/>
      </w:pPr>
      <w:r>
        <w:rPr>
          <w:sz w:val="24"/>
          <w:szCs w:val="24"/>
          <w:rtl w:val="0"/>
        </w:rPr>
        <w:br w:type="page"/>
      </w:r>
    </w:p>
    <w:p>
      <w:pPr>
        <w:pStyle w:val="Body A"/>
        <w:rPr>
          <w:sz w:val="24"/>
          <w:szCs w:val="24"/>
          <w:rtl w:val="0"/>
        </w:rPr>
      </w:pPr>
    </w:p>
    <w:p>
      <w:pPr>
        <w:pStyle w:val="Body A"/>
        <w:rPr>
          <w:sz w:val="24"/>
          <w:szCs w:val="24"/>
          <w:rtl w:val="0"/>
        </w:rPr>
      </w:pPr>
    </w:p>
    <w:p>
      <w:pPr>
        <w:pStyle w:val="Body A"/>
        <w:rPr>
          <w:sz w:val="24"/>
          <w:szCs w:val="24"/>
          <w:rtl w:val="0"/>
        </w:rPr>
      </w:pPr>
      <w:r>
        <w:rPr>
          <w:rFonts w:ascii="Times New Roman" w:cs="Arial Unicode MS" w:hAnsi="Arial Unicode MS" w:eastAsia="Arial Unicode MS"/>
          <w:sz w:val="24"/>
          <w:szCs w:val="24"/>
          <w:rtl w:val="0"/>
        </w:rPr>
        <w:t>Reference</w:t>
      </w:r>
    </w:p>
    <w:p>
      <w:pPr>
        <w:pStyle w:val="Body A"/>
        <w:ind w:left="720" w:hanging="720"/>
        <w:rPr>
          <w:sz w:val="24"/>
          <w:szCs w:val="24"/>
          <w:rtl w:val="0"/>
        </w:rPr>
      </w:pPr>
      <w:r>
        <w:rPr>
          <w:sz w:val="24"/>
          <w:szCs w:val="24"/>
          <w:rtl w:val="0"/>
          <w:lang w:val="en-US"/>
        </w:rPr>
        <w:t xml:space="preserve">Guinan, M., McGuckin, M., &amp; Ali, Y. (2002). The effect of comprehensive handwashing program on absenteeism in elementary schools. </w:t>
      </w:r>
      <w:r>
        <w:rPr>
          <w:i w:val="1"/>
          <w:iCs w:val="1"/>
          <w:sz w:val="24"/>
          <w:szCs w:val="24"/>
          <w:rtl w:val="0"/>
          <w:lang w:val="en-US"/>
        </w:rPr>
        <w:t xml:space="preserve">American Journal of Infection Control, </w:t>
      </w:r>
      <w:r>
        <w:rPr>
          <w:sz w:val="24"/>
          <w:szCs w:val="24"/>
          <w:rtl w:val="0"/>
        </w:rPr>
        <w:t>30(1), 217-220.</w:t>
      </w:r>
    </w:p>
    <w:p>
      <w:pPr>
        <w:pStyle w:val="Body A"/>
        <w:ind w:left="720" w:hanging="720"/>
        <w:rPr>
          <w:sz w:val="24"/>
          <w:szCs w:val="24"/>
          <w:rtl w:val="0"/>
        </w:rPr>
      </w:pPr>
      <w:r>
        <w:rPr>
          <w:sz w:val="24"/>
          <w:szCs w:val="24"/>
          <w:rtl w:val="0"/>
          <w:lang w:val="en-US"/>
        </w:rPr>
        <w:t xml:space="preserve">Hammond, B., Ali, Y., Fendler, E., Dolan, M., &amp; Donovan, S. (2000). Effects of hand sanitizer use on elementary school absenteeism in elementary schools. </w:t>
      </w:r>
      <w:r>
        <w:rPr>
          <w:i w:val="1"/>
          <w:iCs w:val="1"/>
          <w:sz w:val="24"/>
          <w:szCs w:val="24"/>
          <w:rtl w:val="0"/>
          <w:lang w:val="en-US"/>
        </w:rPr>
        <w:t>American Journal of Infection Control,</w:t>
      </w:r>
      <w:r>
        <w:rPr>
          <w:sz w:val="24"/>
          <w:szCs w:val="24"/>
          <w:rtl w:val="0"/>
        </w:rPr>
        <w:t xml:space="preserve"> 28(1), 340-346.</w:t>
      </w:r>
      <w:r>
        <w:rPr>
          <w:sz w:val="24"/>
          <w:szCs w:val="24"/>
          <w:rtl w:val="0"/>
        </w:rPr>
        <w:br w:type="textWrapping"/>
      </w:r>
      <w:commentRangeStart w:id="0"/>
    </w:p>
    <w:p>
      <w:pPr>
        <w:pStyle w:val="Body A"/>
        <w:ind w:left="720" w:hanging="720"/>
        <w:rPr>
          <w:sz w:val="24"/>
          <w:szCs w:val="24"/>
          <w:rtl w:val="0"/>
        </w:rPr>
      </w:pPr>
      <w:r>
        <w:rPr>
          <w:sz w:val="24"/>
          <w:szCs w:val="24"/>
          <w:rtl w:val="0"/>
          <w:lang w:val="en-US"/>
        </w:rPr>
        <w:t xml:space="preserve">Mentziou, I., Delezos, C., Krikidis, D., Nestoridou, A., &amp; Boskou, G. (2015). Evaluation of hand hygiene in groups of students in Greece. </w:t>
      </w:r>
      <w:r>
        <w:rPr>
          <w:i w:val="1"/>
          <w:iCs w:val="1"/>
          <w:sz w:val="24"/>
          <w:szCs w:val="24"/>
          <w:rtl w:val="0"/>
        </w:rPr>
        <w:t>H</w:t>
      </w:r>
      <w:commentRangeEnd w:id="0"/>
      <w:r>
        <w:commentReference w:id="0"/>
      </w:r>
      <w:r>
        <w:rPr>
          <w:i w:val="1"/>
          <w:iCs w:val="1"/>
          <w:sz w:val="24"/>
          <w:szCs w:val="24"/>
          <w:rtl w:val="0"/>
          <w:lang w:val="en-US"/>
        </w:rPr>
        <w:t>ealth Science Journal</w:t>
      </w:r>
      <w:r>
        <w:rPr>
          <w:sz w:val="24"/>
          <w:szCs w:val="24"/>
          <w:rtl w:val="0"/>
        </w:rPr>
        <w:t xml:space="preserve">, </w:t>
      </w:r>
      <w:r>
        <w:rPr>
          <w:i w:val="1"/>
          <w:iCs w:val="1"/>
          <w:sz w:val="24"/>
          <w:szCs w:val="24"/>
          <w:rtl w:val="0"/>
        </w:rPr>
        <w:t>9</w:t>
      </w:r>
      <w:r>
        <w:rPr>
          <w:sz w:val="24"/>
          <w:szCs w:val="24"/>
          <w:rtl w:val="0"/>
        </w:rPr>
        <w:t xml:space="preserve">(15), 1-9. </w:t>
      </w:r>
    </w:p>
    <w:p>
      <w:pPr>
        <w:pStyle w:val="Body A"/>
        <w:ind w:left="720" w:hanging="720"/>
        <w:rPr>
          <w:sz w:val="24"/>
          <w:szCs w:val="24"/>
          <w:rtl w:val="0"/>
        </w:rPr>
      </w:pPr>
      <w:r>
        <w:rPr>
          <w:sz w:val="24"/>
          <w:szCs w:val="24"/>
          <w:rtl w:val="0"/>
          <w:lang w:val="en-US"/>
        </w:rPr>
        <w:t xml:space="preserve">Morton, J., &amp; Schultz, A. (2004). Healthy hands: Use of alcohol gel as an adjunct to handwashing in elementary school children. </w:t>
      </w:r>
      <w:r>
        <w:rPr>
          <w:i w:val="1"/>
          <w:iCs w:val="1"/>
          <w:sz w:val="24"/>
          <w:szCs w:val="24"/>
          <w:rtl w:val="0"/>
          <w:lang w:val="en-US"/>
        </w:rPr>
        <w:t xml:space="preserve">Journal of School Nursing, </w:t>
      </w:r>
      <w:r>
        <w:rPr>
          <w:sz w:val="24"/>
          <w:szCs w:val="24"/>
          <w:rtl w:val="0"/>
        </w:rPr>
        <w:t>20(1), 161-167.</w:t>
      </w:r>
    </w:p>
    <w:p>
      <w:pPr>
        <w:pStyle w:val="Body A"/>
        <w:ind w:left="720" w:hanging="720"/>
        <w:rPr>
          <w:sz w:val="24"/>
          <w:szCs w:val="24"/>
          <w:rtl w:val="0"/>
        </w:rPr>
      </w:pPr>
      <w:r>
        <w:rPr>
          <w:sz w:val="24"/>
          <w:szCs w:val="24"/>
          <w:rtl w:val="0"/>
          <w:lang w:val="en-US"/>
        </w:rPr>
        <w:t xml:space="preserve">Petiprin, A. (2016). Health Promotion Model. </w:t>
      </w:r>
      <w:r>
        <w:rPr>
          <w:i w:val="1"/>
          <w:iCs w:val="1"/>
          <w:sz w:val="24"/>
          <w:szCs w:val="24"/>
          <w:rtl w:val="0"/>
          <w:lang w:val="en-US"/>
        </w:rPr>
        <w:t>Nurse Theory</w:t>
      </w:r>
      <w:r>
        <w:rPr>
          <w:sz w:val="24"/>
          <w:szCs w:val="24"/>
          <w:rtl w:val="0"/>
          <w:lang w:val="en-US"/>
        </w:rPr>
        <w:t>. Retrieved from http://www.nursing-theory.org/theories-and-models/pender-health-promotion-model.php</w:t>
      </w:r>
      <w:r>
        <w:rPr>
          <w:rFonts w:hAnsi="Times New Roman" w:hint="default"/>
          <w:sz w:val="24"/>
          <w:szCs w:val="24"/>
          <w:rtl w:val="0"/>
        </w:rPr>
        <w:t> </w:t>
      </w:r>
    </w:p>
    <w:p>
      <w:pPr>
        <w:pStyle w:val="Body A"/>
        <w:ind w:left="720" w:hanging="720"/>
        <w:rPr>
          <w:sz w:val="24"/>
          <w:szCs w:val="24"/>
          <w:rtl w:val="0"/>
        </w:rPr>
      </w:pPr>
      <w:r>
        <w:rPr>
          <w:sz w:val="24"/>
          <w:szCs w:val="24"/>
          <w:rtl w:val="0"/>
          <w:lang w:val="en-US"/>
        </w:rPr>
        <w:t xml:space="preserve">Ramos, M., Blea, M., Trujillo, R., &amp; Greenburg, C. (2010). Inspections of hand washing supplies and hand sanitizer in public schools. </w:t>
      </w:r>
      <w:r>
        <w:rPr>
          <w:i w:val="1"/>
          <w:iCs w:val="1"/>
          <w:sz w:val="24"/>
          <w:szCs w:val="24"/>
          <w:rtl w:val="0"/>
          <w:lang w:val="en-US"/>
        </w:rPr>
        <w:t>The Journal of School Nursing</w:t>
      </w:r>
      <w:r>
        <w:rPr>
          <w:sz w:val="24"/>
          <w:szCs w:val="24"/>
          <w:rtl w:val="0"/>
        </w:rPr>
        <w:t>, 26(5), 393-397.</w:t>
      </w:r>
    </w:p>
    <w:p>
      <w:pPr>
        <w:pStyle w:val="Body A"/>
        <w:ind w:left="720" w:hanging="720"/>
        <w:rPr>
          <w:sz w:val="24"/>
          <w:szCs w:val="24"/>
          <w:rtl w:val="0"/>
        </w:rPr>
      </w:pPr>
      <w:r>
        <w:rPr>
          <w:sz w:val="24"/>
          <w:szCs w:val="24"/>
          <w:rtl w:val="0"/>
          <w:lang w:val="en-US"/>
        </w:rPr>
        <w:t xml:space="preserve">Schaffer M., Sandau K., &amp; Diedrick L. (2013) Evidence-based practice models for organizational change: overview and practical applications. </w:t>
      </w:r>
      <w:r>
        <w:rPr>
          <w:i w:val="1"/>
          <w:iCs w:val="1"/>
          <w:sz w:val="24"/>
          <w:szCs w:val="24"/>
          <w:rtl w:val="0"/>
          <w:lang w:val="en-US"/>
        </w:rPr>
        <w:t xml:space="preserve">Journal of Advanced Nursing </w:t>
      </w:r>
      <w:r>
        <w:rPr>
          <w:sz w:val="24"/>
          <w:szCs w:val="24"/>
          <w:rtl w:val="0"/>
        </w:rPr>
        <w:t>69(5), 1197</w:t>
      </w:r>
      <w:r>
        <w:rPr>
          <w:rFonts w:hAnsi="Times New Roman" w:hint="default"/>
          <w:sz w:val="24"/>
          <w:szCs w:val="24"/>
          <w:rtl w:val="0"/>
        </w:rPr>
        <w:t>–</w:t>
      </w:r>
      <w:r>
        <w:rPr>
          <w:sz w:val="24"/>
          <w:szCs w:val="24"/>
          <w:rtl w:val="0"/>
        </w:rPr>
        <w:t xml:space="preserve">1209. </w:t>
      </w:r>
    </w:p>
    <w:p>
      <w:pPr>
        <w:pStyle w:val="Body A"/>
        <w:ind w:left="720" w:hanging="720"/>
        <w:rPr>
          <w:sz w:val="24"/>
          <w:szCs w:val="24"/>
          <w:rtl w:val="0"/>
        </w:rPr>
      </w:pPr>
      <w:r>
        <w:rPr>
          <w:sz w:val="24"/>
          <w:szCs w:val="24"/>
          <w:rtl w:val="0"/>
          <w:lang w:val="en-US"/>
        </w:rPr>
        <w:t>Tousman, S., Arnold, D., Helland, W., Roth, Ruth., Heshelman, N., Castaneda, O., Fischer, E., O'Neil, K., &amp; Bileto, S. (2007). Evaluation of handwashing program for 2</w:t>
      </w:r>
      <w:r>
        <w:rPr>
          <w:sz w:val="24"/>
          <w:szCs w:val="24"/>
          <w:vertAlign w:val="superscript"/>
          <w:rtl w:val="0"/>
        </w:rPr>
        <w:t>nd</w:t>
      </w:r>
      <w:r>
        <w:rPr>
          <w:sz w:val="24"/>
          <w:szCs w:val="24"/>
          <w:rtl w:val="0"/>
          <w:lang w:val="en-US"/>
        </w:rPr>
        <w:t xml:space="preserve"> graders. </w:t>
      </w:r>
      <w:r>
        <w:rPr>
          <w:i w:val="1"/>
          <w:iCs w:val="1"/>
          <w:sz w:val="24"/>
          <w:szCs w:val="24"/>
          <w:rtl w:val="0"/>
          <w:lang w:val="en-US"/>
        </w:rPr>
        <w:t xml:space="preserve">The Journal of School Nursing, </w:t>
      </w:r>
      <w:r>
        <w:rPr>
          <w:sz w:val="24"/>
          <w:szCs w:val="24"/>
          <w:rtl w:val="0"/>
        </w:rPr>
        <w:t>23(6), 342-348.</w:t>
      </w:r>
    </w:p>
    <w:p>
      <w:pPr>
        <w:pStyle w:val="Body A"/>
        <w:ind w:left="720" w:hanging="720"/>
        <w:rPr>
          <w:sz w:val="24"/>
          <w:szCs w:val="24"/>
          <w:rtl w:val="0"/>
        </w:rPr>
      </w:pPr>
      <w:r>
        <w:rPr>
          <w:sz w:val="24"/>
          <w:szCs w:val="24"/>
          <w:rtl w:val="0"/>
          <w:lang w:val="en-US"/>
        </w:rPr>
        <w:t>Vessey, J., Sherwood, J., Warner, D., &amp; Clark, D. (2007). Comparing hand washing to hand sanitizers in reducing elementary school students</w:t>
      </w:r>
      <w:r>
        <w:rPr>
          <w:rFonts w:hAnsi="Times New Roman" w:hint="default"/>
          <w:sz w:val="24"/>
          <w:szCs w:val="24"/>
          <w:rtl w:val="0"/>
          <w:lang w:val="fr-FR"/>
        </w:rPr>
        <w:t xml:space="preserve">’ </w:t>
      </w:r>
      <w:r>
        <w:rPr>
          <w:sz w:val="24"/>
          <w:szCs w:val="24"/>
          <w:rtl w:val="0"/>
        </w:rPr>
        <w:t xml:space="preserve">absenteeism. </w:t>
      </w:r>
      <w:r>
        <w:rPr>
          <w:i w:val="1"/>
          <w:iCs w:val="1"/>
          <w:sz w:val="24"/>
          <w:szCs w:val="24"/>
          <w:rtl w:val="0"/>
        </w:rPr>
        <w:t>Pediatric Nursing</w:t>
      </w:r>
      <w:r>
        <w:rPr>
          <w:sz w:val="24"/>
          <w:szCs w:val="24"/>
          <w:rtl w:val="0"/>
        </w:rPr>
        <w:t xml:space="preserve">, </w:t>
      </w:r>
      <w:r>
        <w:rPr>
          <w:i w:val="1"/>
          <w:iCs w:val="1"/>
          <w:sz w:val="24"/>
          <w:szCs w:val="24"/>
          <w:rtl w:val="0"/>
        </w:rPr>
        <w:t>33</w:t>
      </w:r>
      <w:r>
        <w:rPr>
          <w:sz w:val="24"/>
          <w:szCs w:val="24"/>
          <w:rtl w:val="0"/>
        </w:rPr>
        <w:t>(4), 368-372.</w:t>
      </w:r>
    </w:p>
    <w:p>
      <w:pPr>
        <w:pStyle w:val="Body A"/>
        <w:ind w:left="720" w:hanging="720"/>
        <w:rPr>
          <w:sz w:val="24"/>
          <w:szCs w:val="24"/>
          <w:rtl w:val="0"/>
        </w:rPr>
      </w:pPr>
      <w:r>
        <w:rPr>
          <w:sz w:val="24"/>
          <w:szCs w:val="24"/>
          <w:rtl w:val="0"/>
          <w:lang w:val="en-US"/>
        </w:rPr>
        <w:t xml:space="preserve">White, C., Shinder, F., Shinder, A., &amp; Dyer, D. (2001). Reduction of illness absenteeism in elementary schools using an alcohol-free instant hand sanitizer. </w:t>
      </w:r>
      <w:r>
        <w:rPr>
          <w:i w:val="1"/>
          <w:iCs w:val="1"/>
          <w:sz w:val="24"/>
          <w:szCs w:val="24"/>
          <w:rtl w:val="0"/>
          <w:lang w:val="en-US"/>
        </w:rPr>
        <w:t xml:space="preserve">Journal of School Nursing, </w:t>
      </w:r>
      <w:r>
        <w:rPr>
          <w:sz w:val="24"/>
          <w:szCs w:val="24"/>
          <w:rtl w:val="0"/>
        </w:rPr>
        <w:t>17(1), 258-264.</w:t>
      </w:r>
    </w:p>
    <w:p>
      <w:pPr>
        <w:pStyle w:val="Body A"/>
        <w:ind w:left="720" w:hanging="720"/>
        <w:rPr>
          <w:sz w:val="24"/>
          <w:szCs w:val="24"/>
          <w:rtl w:val="0"/>
        </w:rPr>
      </w:pPr>
      <w:r>
        <w:rPr>
          <w:sz w:val="24"/>
          <w:szCs w:val="24"/>
          <w:rtl w:val="0"/>
          <w:lang w:val="en-US"/>
        </w:rPr>
        <w:t>World Health Organization., (2009). WHO guidelines on hand hygiene in healthcare</w:t>
      </w:r>
    </w:p>
    <w:p>
      <w:pPr>
        <w:pStyle w:val="Body A"/>
      </w:pPr>
      <w:r>
        <w:rPr>
          <w:b w:val="1"/>
          <w:bCs w:val="1"/>
        </w:rPr>
      </w:r>
    </w:p>
    <w:sectPr>
      <w:headerReference w:type="default" r:id="rId6"/>
      <w:footerReference w:type="default" r:id="rId7"/>
      <w:pgSz w:w="12240" w:h="15840" w:orient="portrait"/>
      <w:pgMar w:top="1440" w:right="1440" w:bottom="1440" w:left="1440" w:header="720" w:footer="864"/>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0" w:author="Grammarly" w:date="2018-05-07T18:08:00Z">
    <w:p>
      <w:pPr>
        <w:pStyle w:val="Default"/>
      </w:pPr>
    </w:p>
    <w:p>
      <w:pPr>
        <w:pStyle w:val="Default"/>
      </w:pPr>
      <w:r>
        <w:rPr>
          <w:rFonts w:ascii="Helvetica" w:cs="Arial Unicode MS" w:hAnsi="Arial Unicode MS" w:eastAsia="Arial Unicode MS"/>
          <w:rtl w:val="0"/>
        </w:rPr>
        <w:t>Deleted:g</w:t>
      </w:r>
    </w:p>
    <w:p>
      <w:pPr>
        <w:pStyle w:val="Default"/>
      </w:pPr>
    </w:p>
    <w:p>
      <w:pPr>
        <w:pStyle w:val="Default"/>
      </w:pPr>
      <w:r>
        <w:rPr>
          <w:rFonts w:ascii="Helvetica" w:cs="Arial Unicode MS" w:hAnsi="Arial Unicode MS" w:eastAsia="Arial Unicode MS"/>
          <w:rtl w:val="0"/>
        </w:rPr>
        <w:t>Grammarly</w:t>
      </w:r>
    </w:p>
    <w:p>
      <w:pPr>
        <w:pStyle w:val="Default"/>
      </w:pPr>
      <w:r>
        <w:rPr>
          <w:rFonts w:ascii="Helvetica" w:cs="Arial Unicode MS" w:hAnsi="Arial Unicode MS" w:eastAsia="Arial Unicode MS"/>
          <w:rtl w:val="0"/>
        </w:rPr>
        <w:t>Inserted: G</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Body A A">
    <w:name w:val="Body A A"/>
    <w:next w:val="Body A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chart" Target="charts/chart1.xml"/><Relationship Id="rId5" Type="http://schemas.openxmlformats.org/officeDocument/2006/relationships/chart" Target="charts/chart2.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comments" Target="comments.xml"/><Relationship Id="rId9" Type="http://schemas.openxmlformats.org/officeDocument/2006/relationships/theme" Target="theme/theme1.xml"/></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Relationships xmlns="http://schemas.openxmlformats.org/package/2006/relationships"><Relationship Id="rId1" Type="http://schemas.openxmlformats.org/officeDocument/2006/relationships/package" Target="../embeddings/Microsoft_Excel_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roundedCorners val="0"/>
  <c:chart>
    <c:title>
      <c:tx>
        <c:rich>
          <a:bodyPr rot="0"/>
          <a:lstStyle/>
          <a:p>
            <a:pPr lvl="0">
              <a:defRPr b="0" i="0" strike="noStrike" sz="1100" u="none">
                <a:solidFill>
                  <a:srgbClr val="595959"/>
                </a:solidFill>
                <a:effectLst/>
                <a:latin typeface="Times New Roman"/>
              </a:defRPr>
            </a:pPr>
            <a:r>
              <a:rPr b="0" i="0" strike="noStrike" sz="1100" u="none">
                <a:solidFill>
                  <a:srgbClr val="595959"/>
                </a:solidFill>
                <a:effectLst/>
                <a:latin typeface="Times New Roman"/>
              </a:rPr>
              <a:t>Figure 1. Percenage of Students Who Answered Knowledge Based Questions Correctly </a:t>
            </a:r>
          </a:p>
        </c:rich>
      </c:tx>
      <c:layout>
        <c:manualLayout>
          <c:xMode val="edge"/>
          <c:yMode val="edge"/>
          <c:x val="0.0248484"/>
          <c:y val="0.005"/>
          <c:w val="0.950303"/>
          <c:h val="0.15237"/>
        </c:manualLayout>
      </c:layout>
      <c:overlay val="1"/>
      <c:spPr>
        <a:noFill/>
        <a:effectLst/>
      </c:spPr>
    </c:title>
    <c:autoTitleDeleted val="1"/>
    <c:plotArea>
      <c:layout>
        <c:manualLayout>
          <c:layoutTarget val="inner"/>
          <c:xMode val="edge"/>
          <c:yMode val="edge"/>
          <c:x val="0.134827"/>
          <c:y val="0.15237"/>
          <c:w val="0.865173"/>
          <c:h val="0.655044"/>
        </c:manualLayout>
      </c:layout>
      <c:barChart>
        <c:barDir val="col"/>
        <c:grouping val="clustered"/>
        <c:varyColors val="0"/>
        <c:ser>
          <c:idx val="0"/>
          <c:order val="0"/>
          <c:tx>
            <c:strRef>
              <c:f>Sheet1!$A$2</c:f>
              <c:strCache>
                <c:pt idx="0">
                  <c:v>Pre-Test</c:v>
                </c:pt>
              </c:strCache>
            </c:strRef>
          </c:tx>
          <c:spPr>
            <a:solidFill>
              <a:srgbClr val="499BC9"/>
            </a:solidFill>
            <a:ln w="12700" cap="flat">
              <a:noFill/>
              <a:miter lim="400000"/>
            </a:ln>
            <a:effectLst/>
          </c:spPr>
          <c:invertIfNegative val="0"/>
          <c:dLbls>
            <c:numFmt formatCode="0" sourceLinked="0"/>
            <c:txPr>
              <a:bodyPr/>
              <a:lstStyle/>
              <a:p>
                <a:pPr lvl="0">
                  <a:defRPr b="0" i="0" strike="noStrike" sz="900" u="none">
                    <a:solidFill>
                      <a:srgbClr val="404040"/>
                    </a:solidFill>
                    <a:effectLst/>
                    <a:latin typeface="Helvetica"/>
                  </a:defRPr>
                </a:pPr>
                <a:r>
                  <a:rPr b="0" i="0" strike="noStrike" sz="900" u="none">
                    <a:solidFill>
                      <a:srgbClr val="404040"/>
                    </a:solidFill>
                    <a:effectLst/>
                    <a:latin typeface="Helvetica"/>
                  </a:rPr>
                  <a:t/>
                </a:r>
              </a:p>
            </c:txPr>
            <c:dLblPos val="outEnd"/>
            <c:showLegendKey val="0"/>
            <c:showVal val="1"/>
            <c:showCatName val="0"/>
            <c:showSerName val="0"/>
            <c:showPercent val="0"/>
            <c:showBubbleSize val="0"/>
            <c:showLeaderLines val="0"/>
          </c:dLbls>
          <c:cat>
            <c:strRef>
              <c:f>Sheet1!$B$1:$D$1</c:f>
              <c:strCache>
                <c:ptCount val="3"/>
                <c:pt idx="0">
                  <c:v>Length of Handwashing</c:v>
                </c:pt>
                <c:pt idx="1">
                  <c:v>What to Use</c:v>
                </c:pt>
                <c:pt idx="2">
                  <c:v>Why It's Important</c:v>
                </c:pt>
              </c:strCache>
            </c:strRef>
          </c:cat>
          <c:val>
            <c:numRef>
              <c:f>Sheet1!$B$2:$D$2</c:f>
              <c:numCache>
                <c:ptCount val="3"/>
                <c:pt idx="0">
                  <c:v>53.000000</c:v>
                </c:pt>
                <c:pt idx="1">
                  <c:v>47.000000</c:v>
                </c:pt>
                <c:pt idx="2">
                  <c:v>53.000000</c:v>
                </c:pt>
              </c:numCache>
            </c:numRef>
          </c:val>
        </c:ser>
        <c:ser>
          <c:idx val="1"/>
          <c:order val="1"/>
          <c:tx>
            <c:strRef>
              <c:f>Sheet1!$A$3</c:f>
              <c:strCache>
                <c:pt idx="0">
                  <c:v>Post-Test</c:v>
                </c:pt>
              </c:strCache>
            </c:strRef>
          </c:tx>
          <c:spPr>
            <a:solidFill>
              <a:srgbClr val="6EC038"/>
            </a:solidFill>
            <a:ln w="12700" cap="flat">
              <a:noFill/>
              <a:miter lim="400000"/>
            </a:ln>
            <a:effectLst/>
          </c:spPr>
          <c:invertIfNegative val="0"/>
          <c:dLbls>
            <c:numFmt formatCode="0" sourceLinked="0"/>
            <c:txPr>
              <a:bodyPr/>
              <a:lstStyle/>
              <a:p>
                <a:pPr lvl="0">
                  <a:defRPr b="0" i="0" strike="noStrike" sz="900" u="none">
                    <a:solidFill>
                      <a:srgbClr val="404040"/>
                    </a:solidFill>
                    <a:effectLst/>
                    <a:latin typeface="Helvetica"/>
                  </a:defRPr>
                </a:pPr>
                <a:r>
                  <a:rPr b="0" i="0" strike="noStrike" sz="900" u="none">
                    <a:solidFill>
                      <a:srgbClr val="404040"/>
                    </a:solidFill>
                    <a:effectLst/>
                    <a:latin typeface="Helvetica"/>
                  </a:rPr>
                  <a:t/>
                </a:r>
              </a:p>
            </c:txPr>
            <c:dLblPos val="outEnd"/>
            <c:showLegendKey val="0"/>
            <c:showVal val="1"/>
            <c:showCatName val="0"/>
            <c:showSerName val="0"/>
            <c:showPercent val="0"/>
            <c:showBubbleSize val="0"/>
            <c:showLeaderLines val="0"/>
          </c:dLbls>
          <c:cat>
            <c:strRef>
              <c:f>Sheet1!$B$1:$D$1</c:f>
              <c:strCache>
                <c:ptCount val="3"/>
                <c:pt idx="0">
                  <c:v>Length of Handwashing</c:v>
                </c:pt>
                <c:pt idx="1">
                  <c:v>What to Use</c:v>
                </c:pt>
                <c:pt idx="2">
                  <c:v>Why It's Important</c:v>
                </c:pt>
              </c:strCache>
            </c:strRef>
          </c:cat>
          <c:val>
            <c:numRef>
              <c:f>Sheet1!$B$3:$D$3</c:f>
              <c:numCache>
                <c:ptCount val="3"/>
                <c:pt idx="0">
                  <c:v>89.000000</c:v>
                </c:pt>
                <c:pt idx="1">
                  <c:v>100.000000</c:v>
                </c:pt>
                <c:pt idx="2">
                  <c:v>95.000000</c:v>
                </c:pt>
              </c:numCache>
            </c:numRef>
          </c:val>
        </c:ser>
        <c:ser>
          <c:idx val="2"/>
          <c:order val="2"/>
          <c:tx>
            <c:strRef>
              <c:f>Sheet1!$A$4</c:f>
              <c:strCache>
                <c:pt idx="0">
                  <c:v>1 Week Later</c:v>
                </c:pt>
              </c:strCache>
            </c:strRef>
          </c:tx>
          <c:spPr>
            <a:solidFill>
              <a:srgbClr val="F1D130"/>
            </a:solidFill>
            <a:ln w="12700" cap="flat">
              <a:noFill/>
              <a:miter lim="400000"/>
            </a:ln>
            <a:effectLst/>
          </c:spPr>
          <c:invertIfNegative val="0"/>
          <c:dLbls>
            <c:numFmt formatCode="0" sourceLinked="0"/>
            <c:txPr>
              <a:bodyPr/>
              <a:lstStyle/>
              <a:p>
                <a:pPr lvl="0">
                  <a:defRPr b="0" i="0" strike="noStrike" sz="900" u="none">
                    <a:solidFill>
                      <a:srgbClr val="404040"/>
                    </a:solidFill>
                    <a:effectLst/>
                    <a:latin typeface="Helvetica"/>
                  </a:defRPr>
                </a:pPr>
                <a:r>
                  <a:rPr b="0" i="0" strike="noStrike" sz="900" u="none">
                    <a:solidFill>
                      <a:srgbClr val="404040"/>
                    </a:solidFill>
                    <a:effectLst/>
                    <a:latin typeface="Helvetica"/>
                  </a:rPr>
                  <a:t/>
                </a:r>
              </a:p>
            </c:txPr>
            <c:dLblPos val="outEnd"/>
            <c:showLegendKey val="0"/>
            <c:showVal val="1"/>
            <c:showCatName val="0"/>
            <c:showSerName val="0"/>
            <c:showPercent val="0"/>
            <c:showBubbleSize val="0"/>
            <c:showLeaderLines val="0"/>
          </c:dLbls>
          <c:cat>
            <c:strRef>
              <c:f>Sheet1!$B$1:$D$1</c:f>
              <c:strCache>
                <c:ptCount val="3"/>
                <c:pt idx="0">
                  <c:v>Length of Handwashing</c:v>
                </c:pt>
                <c:pt idx="1">
                  <c:v>What to Use</c:v>
                </c:pt>
                <c:pt idx="2">
                  <c:v>Why It's Important</c:v>
                </c:pt>
              </c:strCache>
            </c:strRef>
          </c:cat>
          <c:val>
            <c:numRef>
              <c:f>Sheet1!$B$4:$D$4</c:f>
              <c:numCache>
                <c:ptCount val="3"/>
                <c:pt idx="0">
                  <c:v>88.000000</c:v>
                </c:pt>
                <c:pt idx="1">
                  <c:v>100.000000</c:v>
                </c:pt>
                <c:pt idx="2">
                  <c:v>94.000000</c:v>
                </c:pt>
              </c:numCache>
            </c:numRef>
          </c:val>
        </c:ser>
        <c:gapWidth val="219"/>
        <c:overlap val="-27"/>
        <c:axId val="0"/>
        <c:axId val="1"/>
      </c:barChart>
      <c:catAx>
        <c:axId val="0"/>
        <c:scaling>
          <c:orientation val="minMax"/>
        </c:scaling>
        <c:delete val="0"/>
        <c:axPos val="b"/>
        <c:title>
          <c:tx>
            <c:rich>
              <a:bodyPr rot="0"/>
              <a:lstStyle/>
              <a:p>
                <a:pPr lvl="0">
                  <a:defRPr b="0" i="0" strike="noStrike" sz="1000" u="none">
                    <a:solidFill>
                      <a:srgbClr val="595959"/>
                    </a:solidFill>
                    <a:effectLst/>
                    <a:latin typeface="Helvetica"/>
                  </a:defRPr>
                </a:pPr>
                <a:r>
                  <a:rPr b="0" i="0" strike="noStrike" sz="1000" u="none">
                    <a:solidFill>
                      <a:srgbClr val="595959"/>
                    </a:solidFill>
                    <a:effectLst/>
                    <a:latin typeface="Helvetica"/>
                  </a:rPr>
                  <a:t>Knowledge Based Questions</a:t>
                </a:r>
              </a:p>
            </c:rich>
          </c:tx>
          <c:layout/>
          <c:overlay val="1"/>
        </c:title>
        <c:numFmt formatCode="General" sourceLinked="1"/>
        <c:majorTickMark val="none"/>
        <c:minorTickMark val="none"/>
        <c:tickLblPos val="low"/>
        <c:spPr>
          <a:ln w="12700" cap="flat">
            <a:solidFill>
              <a:srgbClr val="000000"/>
            </a:solidFill>
            <a:prstDash val="solid"/>
            <a:miter lim="400000"/>
          </a:ln>
        </c:spPr>
        <c:txPr>
          <a:bodyPr rot="0"/>
          <a:lstStyle/>
          <a:p>
            <a:pPr lvl="0">
              <a:defRPr b="0" i="0" strike="noStrike" sz="1000" u="none">
                <a:solidFill>
                  <a:srgbClr val="595959"/>
                </a:solidFill>
                <a:effectLst/>
                <a:latin typeface="Times New Roman"/>
              </a:defRPr>
            </a:pPr>
          </a:p>
        </c:txPr>
        <c:crossAx val="1"/>
        <c:crosses val="autoZero"/>
        <c:auto val="1"/>
        <c:lblAlgn val="ctr"/>
        <c:noMultiLvlLbl val="1"/>
      </c:catAx>
      <c:valAx>
        <c:axId val="1"/>
        <c:scaling>
          <c:orientation val="minMax"/>
          <c:max val="100"/>
        </c:scaling>
        <c:delete val="0"/>
        <c:axPos val="l"/>
        <c:majorGridlines>
          <c:spPr>
            <a:ln w="12700" cap="flat">
              <a:solidFill>
                <a:srgbClr val="D9D9D9"/>
              </a:solidFill>
              <a:prstDash val="solid"/>
              <a:round/>
            </a:ln>
          </c:spPr>
        </c:majorGridlines>
        <c:title>
          <c:tx>
            <c:rich>
              <a:bodyPr rot="-5400000"/>
              <a:lstStyle/>
              <a:p>
                <a:pPr lvl="0">
                  <a:defRPr b="0" i="0" strike="noStrike" sz="1000" u="none">
                    <a:solidFill>
                      <a:srgbClr val="595959"/>
                    </a:solidFill>
                    <a:effectLst/>
                    <a:latin typeface="Helvetica"/>
                  </a:defRPr>
                </a:pPr>
                <a:r>
                  <a:rPr b="0" i="0" strike="noStrike" sz="1000" u="none">
                    <a:solidFill>
                      <a:srgbClr val="595959"/>
                    </a:solidFill>
                    <a:effectLst/>
                    <a:latin typeface="Helvetica"/>
                  </a:rPr>
                  <a:t>Percentage of Students Who Answered Correctly</a:t>
                </a:r>
              </a:p>
            </c:rich>
          </c:tx>
          <c:layout/>
          <c:overlay val="1"/>
        </c:title>
        <c:numFmt formatCode="0" sourceLinked="0"/>
        <c:majorTickMark val="none"/>
        <c:minorTickMark val="none"/>
        <c:tickLblPos val="nextTo"/>
        <c:spPr>
          <a:ln w="12700" cap="flat">
            <a:noFill/>
            <a:prstDash val="solid"/>
            <a:miter lim="400000"/>
          </a:ln>
        </c:spPr>
        <c:txPr>
          <a:bodyPr rot="0"/>
          <a:lstStyle/>
          <a:p>
            <a:pPr lvl="0">
              <a:defRPr b="0" i="0" strike="noStrike" sz="900" u="none">
                <a:solidFill>
                  <a:srgbClr val="595959"/>
                </a:solidFill>
                <a:effectLst/>
                <a:latin typeface="Helvetica"/>
              </a:defRPr>
            </a:pPr>
          </a:p>
        </c:txPr>
        <c:crossAx val="0"/>
        <c:crosses val="autoZero"/>
        <c:crossBetween val="between"/>
        <c:majorUnit val="25"/>
        <c:minorUnit val="12.5"/>
      </c:valAx>
      <c:spPr>
        <a:noFill/>
        <a:ln w="12700" cap="flat">
          <a:noFill/>
          <a:miter lim="400000"/>
        </a:ln>
        <a:effectLst/>
      </c:spPr>
    </c:plotArea>
    <c:legend>
      <c:legendPos val="b"/>
      <c:layout>
        <c:manualLayout>
          <c:xMode val="edge"/>
          <c:yMode val="edge"/>
          <c:x val="0.307722"/>
          <c:y val="0.963379"/>
          <c:w val="0.473622"/>
          <c:h val="0.0491208"/>
        </c:manualLayout>
      </c:layout>
      <c:overlay val="1"/>
      <c:spPr>
        <a:noFill/>
        <a:ln w="12700" cap="flat">
          <a:noFill/>
          <a:miter lim="400000"/>
        </a:ln>
        <a:effectLst/>
      </c:spPr>
      <c:txPr>
        <a:bodyPr/>
        <a:lstStyle/>
        <a:p>
          <a:pPr lvl="0">
            <a:defRPr b="0" i="0" strike="noStrike" sz="800" u="none">
              <a:solidFill>
                <a:srgbClr val="595959"/>
              </a:solidFill>
              <a:effectLst/>
              <a:latin typeface="Times New Roman"/>
            </a:defRPr>
          </a:pPr>
        </a:p>
      </c:txPr>
    </c:legend>
    <c:plotVisOnly val="1"/>
    <c:dispBlanksAs val="gap"/>
  </c:chart>
  <c:spPr>
    <a:solidFill>
      <a:srgbClr val="FFFFFF"/>
    </a:solidFill>
    <a:ln w="9525" cap="flat">
      <a:solidFill>
        <a:srgbClr val="D9D9D9"/>
      </a:solidFill>
      <a:prstDash val="solid"/>
      <a:round/>
    </a:ln>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roundedCorners val="0"/>
  <c:chart>
    <c:title>
      <c:tx>
        <c:rich>
          <a:bodyPr rot="0"/>
          <a:lstStyle/>
          <a:p>
            <a:pPr lvl="0">
              <a:defRPr b="0" i="0" strike="noStrike" sz="1400" u="none">
                <a:solidFill>
                  <a:srgbClr val="595959"/>
                </a:solidFill>
                <a:effectLst/>
                <a:latin typeface="Helvetica"/>
              </a:defRPr>
            </a:pPr>
            <a:r>
              <a:rPr b="0" i="0" strike="noStrike" sz="1400" u="none">
                <a:solidFill>
                  <a:srgbClr val="595959"/>
                </a:solidFill>
                <a:effectLst/>
                <a:latin typeface="Helvetica"/>
              </a:rPr>
              <a:t>Figure 2. Percentage Reported Always to Behavior Based Questions</a:t>
            </a:r>
          </a:p>
        </c:rich>
      </c:tx>
      <c:layout>
        <c:manualLayout>
          <c:xMode val="edge"/>
          <c:yMode val="edge"/>
          <c:x val="0.005"/>
          <c:y val="0.005"/>
          <c:w val="1.03197"/>
          <c:h val="0.17492"/>
        </c:manualLayout>
      </c:layout>
      <c:overlay val="1"/>
      <c:spPr>
        <a:noFill/>
        <a:effectLst/>
      </c:spPr>
    </c:title>
    <c:autoTitleDeleted val="1"/>
    <c:plotArea>
      <c:layout>
        <c:manualLayout>
          <c:layoutTarget val="inner"/>
          <c:xMode val="edge"/>
          <c:yMode val="edge"/>
          <c:x val="0.133614"/>
          <c:y val="0.17492"/>
          <c:w val="0.866386"/>
          <c:h val="0.607142"/>
        </c:manualLayout>
      </c:layout>
      <c:barChart>
        <c:barDir val="col"/>
        <c:grouping val="clustered"/>
        <c:varyColors val="0"/>
        <c:ser>
          <c:idx val="0"/>
          <c:order val="0"/>
          <c:tx>
            <c:strRef>
              <c:f>Sheet1!$A$2</c:f>
              <c:strCache>
                <c:pt idx="0">
                  <c:v>Pre-Test</c:v>
                </c:pt>
              </c:strCache>
            </c:strRef>
          </c:tx>
          <c:spPr>
            <a:solidFill>
              <a:srgbClr val="499BC9"/>
            </a:solidFill>
            <a:ln w="12700" cap="flat">
              <a:noFill/>
              <a:miter lim="400000"/>
            </a:ln>
            <a:effectLst/>
          </c:spPr>
          <c:invertIfNegative val="0"/>
          <c:dLbls>
            <c:numFmt formatCode="0" sourceLinked="0"/>
            <c:txPr>
              <a:bodyPr/>
              <a:lstStyle/>
              <a:p>
                <a:pPr lvl="0">
                  <a:defRPr b="0" i="0" strike="noStrike" sz="900" u="none">
                    <a:solidFill>
                      <a:srgbClr val="404040"/>
                    </a:solidFill>
                    <a:effectLst/>
                    <a:latin typeface="Helvetica"/>
                  </a:defRPr>
                </a:pPr>
                <a:r>
                  <a:rPr b="0" i="0" strike="noStrike" sz="900" u="none">
                    <a:solidFill>
                      <a:srgbClr val="404040"/>
                    </a:solidFill>
                    <a:effectLst/>
                    <a:latin typeface="Helvetica"/>
                  </a:rPr>
                  <a:t/>
                </a:r>
              </a:p>
            </c:txPr>
            <c:dLblPos val="outEnd"/>
            <c:showLegendKey val="0"/>
            <c:showVal val="1"/>
            <c:showCatName val="0"/>
            <c:showSerName val="0"/>
            <c:showPercent val="0"/>
            <c:showBubbleSize val="0"/>
            <c:showLeaderLines val="0"/>
          </c:dLbls>
          <c:cat>
            <c:strRef>
              <c:f>Sheet1!$B$1:$D$1</c:f>
              <c:strCache>
                <c:ptCount val="3"/>
                <c:pt idx="0">
                  <c:v>How Often</c:v>
                </c:pt>
                <c:pt idx="1">
                  <c:v>After Using Restroom</c:v>
                </c:pt>
                <c:pt idx="2">
                  <c:v>Before Eating</c:v>
                </c:pt>
              </c:strCache>
            </c:strRef>
          </c:cat>
          <c:val>
            <c:numRef>
              <c:f>Sheet1!$B$2:$D$2</c:f>
              <c:numCache>
                <c:ptCount val="3"/>
                <c:pt idx="0">
                  <c:v>32.000000</c:v>
                </c:pt>
                <c:pt idx="1">
                  <c:v>53.000000</c:v>
                </c:pt>
                <c:pt idx="2">
                  <c:v>63.000000</c:v>
                </c:pt>
              </c:numCache>
            </c:numRef>
          </c:val>
        </c:ser>
        <c:ser>
          <c:idx val="1"/>
          <c:order val="1"/>
          <c:tx>
            <c:strRef>
              <c:f>Sheet1!$A$3</c:f>
              <c:strCache>
                <c:pt idx="0">
                  <c:v>1 Week Later</c:v>
                </c:pt>
              </c:strCache>
            </c:strRef>
          </c:tx>
          <c:spPr>
            <a:solidFill>
              <a:srgbClr val="F1D130"/>
            </a:solidFill>
            <a:ln w="12700" cap="flat">
              <a:noFill/>
              <a:miter lim="400000"/>
            </a:ln>
            <a:effectLst/>
          </c:spPr>
          <c:invertIfNegative val="0"/>
          <c:dLbls>
            <c:numFmt formatCode="0" sourceLinked="0"/>
            <c:txPr>
              <a:bodyPr/>
              <a:lstStyle/>
              <a:p>
                <a:pPr lvl="0">
                  <a:defRPr b="0" i="0" strike="noStrike" sz="900" u="none">
                    <a:solidFill>
                      <a:srgbClr val="404040"/>
                    </a:solidFill>
                    <a:effectLst/>
                    <a:latin typeface="Helvetica"/>
                  </a:defRPr>
                </a:pPr>
                <a:r>
                  <a:rPr b="0" i="0" strike="noStrike" sz="900" u="none">
                    <a:solidFill>
                      <a:srgbClr val="404040"/>
                    </a:solidFill>
                    <a:effectLst/>
                    <a:latin typeface="Helvetica"/>
                  </a:rPr>
                  <a:t/>
                </a:r>
              </a:p>
            </c:txPr>
            <c:dLblPos val="outEnd"/>
            <c:showLegendKey val="0"/>
            <c:showVal val="1"/>
            <c:showCatName val="0"/>
            <c:showSerName val="0"/>
            <c:showPercent val="0"/>
            <c:showBubbleSize val="0"/>
            <c:showLeaderLines val="0"/>
          </c:dLbls>
          <c:cat>
            <c:strRef>
              <c:f>Sheet1!$B$1:$D$1</c:f>
              <c:strCache>
                <c:ptCount val="3"/>
                <c:pt idx="0">
                  <c:v>How Often</c:v>
                </c:pt>
                <c:pt idx="1">
                  <c:v>After Using Restroom</c:v>
                </c:pt>
                <c:pt idx="2">
                  <c:v>Before Eating</c:v>
                </c:pt>
              </c:strCache>
            </c:strRef>
          </c:cat>
          <c:val>
            <c:numRef>
              <c:f>Sheet1!$B$3:$D$3</c:f>
              <c:numCache>
                <c:ptCount val="3"/>
                <c:pt idx="0">
                  <c:v>71.000000</c:v>
                </c:pt>
                <c:pt idx="1">
                  <c:v>76.000000</c:v>
                </c:pt>
                <c:pt idx="2">
                  <c:v>53.000000</c:v>
                </c:pt>
              </c:numCache>
            </c:numRef>
          </c:val>
        </c:ser>
        <c:gapWidth val="219"/>
        <c:overlap val="-27"/>
        <c:axId val="0"/>
        <c:axId val="1"/>
      </c:barChart>
      <c:catAx>
        <c:axId val="0"/>
        <c:scaling>
          <c:orientation val="minMax"/>
        </c:scaling>
        <c:delete val="0"/>
        <c:axPos val="b"/>
        <c:title>
          <c:tx>
            <c:rich>
              <a:bodyPr rot="0"/>
              <a:lstStyle/>
              <a:p>
                <a:pPr lvl="0">
                  <a:defRPr b="0" i="0" strike="noStrike" sz="1000" u="none">
                    <a:solidFill>
                      <a:srgbClr val="595959"/>
                    </a:solidFill>
                    <a:effectLst/>
                    <a:latin typeface="Helvetica"/>
                  </a:defRPr>
                </a:pPr>
                <a:r>
                  <a:rPr b="0" i="0" strike="noStrike" sz="1000" u="none">
                    <a:solidFill>
                      <a:srgbClr val="595959"/>
                    </a:solidFill>
                    <a:effectLst/>
                    <a:latin typeface="Helvetica"/>
                  </a:rPr>
                  <a:t>Behavior Based Questions</a:t>
                </a:r>
              </a:p>
            </c:rich>
          </c:tx>
          <c:layout/>
          <c:overlay val="1"/>
        </c:title>
        <c:numFmt formatCode="General" sourceLinked="1"/>
        <c:majorTickMark val="none"/>
        <c:minorTickMark val="none"/>
        <c:tickLblPos val="low"/>
        <c:spPr>
          <a:ln w="12700" cap="flat">
            <a:solidFill>
              <a:srgbClr val="000000"/>
            </a:solidFill>
            <a:prstDash val="solid"/>
            <a:miter lim="400000"/>
          </a:ln>
        </c:spPr>
        <c:txPr>
          <a:bodyPr rot="0"/>
          <a:lstStyle/>
          <a:p>
            <a:pPr lvl="0">
              <a:defRPr b="0" i="0" strike="noStrike" sz="1000" u="none">
                <a:solidFill>
                  <a:srgbClr val="595959"/>
                </a:solidFill>
                <a:effectLst/>
                <a:latin typeface="Times New Roman"/>
              </a:defRPr>
            </a:pPr>
          </a:p>
        </c:txPr>
        <c:crossAx val="1"/>
        <c:crosses val="autoZero"/>
        <c:auto val="1"/>
        <c:lblAlgn val="ctr"/>
        <c:noMultiLvlLbl val="1"/>
      </c:catAx>
      <c:valAx>
        <c:axId val="1"/>
        <c:scaling>
          <c:orientation val="minMax"/>
          <c:max val="100"/>
        </c:scaling>
        <c:delete val="0"/>
        <c:axPos val="l"/>
        <c:majorGridlines>
          <c:spPr>
            <a:ln w="12700" cap="flat">
              <a:solidFill>
                <a:srgbClr val="D9D9D9"/>
              </a:solidFill>
              <a:prstDash val="solid"/>
              <a:round/>
            </a:ln>
          </c:spPr>
        </c:majorGridlines>
        <c:title>
          <c:tx>
            <c:rich>
              <a:bodyPr rot="-5400000"/>
              <a:lstStyle/>
              <a:p>
                <a:pPr lvl="0">
                  <a:defRPr b="0" i="0" strike="noStrike" sz="1000" u="none">
                    <a:solidFill>
                      <a:srgbClr val="595959"/>
                    </a:solidFill>
                    <a:effectLst/>
                    <a:latin typeface="Helvetica"/>
                  </a:defRPr>
                </a:pPr>
                <a:r>
                  <a:rPr b="0" i="0" strike="noStrike" sz="1000" u="none">
                    <a:solidFill>
                      <a:srgbClr val="595959"/>
                    </a:solidFill>
                    <a:effectLst/>
                    <a:latin typeface="Helvetica"/>
                  </a:rPr>
                  <a:t>Percentage of Students Who Answer Always</a:t>
                </a:r>
              </a:p>
            </c:rich>
          </c:tx>
          <c:layout/>
          <c:overlay val="1"/>
        </c:title>
        <c:numFmt formatCode="0" sourceLinked="0"/>
        <c:majorTickMark val="none"/>
        <c:minorTickMark val="none"/>
        <c:tickLblPos val="nextTo"/>
        <c:spPr>
          <a:ln w="12700" cap="flat">
            <a:noFill/>
            <a:prstDash val="solid"/>
            <a:miter lim="400000"/>
          </a:ln>
        </c:spPr>
        <c:txPr>
          <a:bodyPr rot="0"/>
          <a:lstStyle/>
          <a:p>
            <a:pPr lvl="0">
              <a:defRPr b="0" i="0" strike="noStrike" sz="900" u="none">
                <a:solidFill>
                  <a:srgbClr val="595959"/>
                </a:solidFill>
                <a:effectLst/>
                <a:latin typeface="Helvetica"/>
              </a:defRPr>
            </a:pPr>
          </a:p>
        </c:txPr>
        <c:crossAx val="0"/>
        <c:crosses val="autoZero"/>
        <c:crossBetween val="between"/>
        <c:majorUnit val="25"/>
        <c:minorUnit val="12.5"/>
      </c:valAx>
      <c:spPr>
        <a:noFill/>
        <a:ln w="12700" cap="flat">
          <a:noFill/>
          <a:miter lim="400000"/>
        </a:ln>
        <a:effectLst/>
      </c:spPr>
    </c:plotArea>
    <c:legend>
      <c:legendPos val="b"/>
      <c:layout>
        <c:manualLayout>
          <c:xMode val="edge"/>
          <c:yMode val="edge"/>
          <c:x val="0.333397"/>
          <c:y val="0.966016"/>
          <c:w val="0.535559"/>
          <c:h val="0.0464838"/>
        </c:manualLayout>
      </c:layout>
      <c:overlay val="1"/>
      <c:spPr>
        <a:noFill/>
        <a:ln w="12700" cap="flat">
          <a:noFill/>
          <a:miter lim="400000"/>
        </a:ln>
        <a:effectLst/>
      </c:spPr>
      <c:txPr>
        <a:bodyPr/>
        <a:lstStyle/>
        <a:p>
          <a:pPr lvl="0">
            <a:defRPr b="0" i="0" strike="noStrike" sz="800" u="none">
              <a:solidFill>
                <a:srgbClr val="595959"/>
              </a:solidFill>
              <a:effectLst/>
              <a:latin typeface="Times New Roman"/>
            </a:defRPr>
          </a:pPr>
        </a:p>
      </c:txPr>
    </c:legend>
    <c:plotVisOnly val="1"/>
    <c:dispBlanksAs val="gap"/>
  </c:chart>
  <c:spPr>
    <a:solidFill>
      <a:srgbClr val="FFFFFF"/>
    </a:solidFill>
    <a:ln w="9525" cap="flat">
      <a:solidFill>
        <a:srgbClr val="D9D9D9"/>
      </a:solidFill>
      <a:prstDash val="solid"/>
      <a:round/>
    </a:ln>
    <a:effectLst/>
  </c:spPr>
  <c:externalData r:id="rId1">
    <c:autoUpdate val="0"/>
  </c:externalData>
</c:chartSpace>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